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“Fifteen minutes a day is not how character is developed.  In fact, 15 minutes a day doesn’t get any job done,  with respect to the traits of strong character."  ~Drayton Nabers Jr., former Chief Justice, Alabama Supreme Court Co-Founder, The Hope Institute. </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Please ask your legislators to vote YES and help sponsor The Nick Bell Character Education Bill, which will require every school in the State of Alabama to provide a full class period, or at minimum, 35-45 minutes of daily classroom instruction on Character Education to all students in grades K-12 across the State of Alabama.   Our children's future remains at risk if we do not provide them with the necessary tools and resources they direly need to develop their character and enhance their conflict resolution skills. As a parent, no one knows better than I do the impact a well-developed character can have on a child.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Thank you, </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(Put your name and address)</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Go to our website noted below to find your legislators and sign the petition.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www.nickbellfoundation.org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